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177</w:t>
      </w:r>
    </w:p>
    <w:p>
      <w:r>
        <w:t>Bundesgericht (BGE), 2023-12-15, DE</w:t>
      </w:r>
    </w:p>
    <w:p>
      <w:r>
        <w:rPr>
          <w:b/>
        </w:rPr>
        <w:t xml:space="preserve">Quelle: </w:t>
      </w:r>
      <w:r>
        <w:t>https://mcp.opencaselaw.ch/entscheid/bge_150 II 177</w:t>
      </w:r>
    </w:p>
    <w:p>
      <w:r>
        <w:t>FR: ATF 150 II 177</w:t>
      </w:r>
    </w:p>
    <w:p>
      <w:r>
        <w:t>IT: DTF 150 II 177</w:t>
      </w:r>
    </w:p>
    <w:p>
      <w:pPr>
        <w:pStyle w:val="Heading2"/>
      </w:pPr>
      <w:r>
        <w:t>Regeste</w:t>
      </w:r>
    </w:p>
    <w:p>
      <w:r>
        <w:t>Regeste Art. 11 und 12 VStrR; Art. 75 ZG; Art. 20 AStG; Art. 56 Abs. 4 und Art. 105 MWSTG; Verhältnis der Nachleistungspflicht gemäss Art. 12 VStrR zu den Abgabeforderungen; Verjährung der Nachleistungspflicht, insbesondere bei Erfüllung des objektiven Tatbestands der Einfuhrsteuerhinterziehung. Art. 12 VStrR verleiht der Bundesverwaltung einen eigenständigen Anspruch auf die Nachleistung von Abgaben, der von der Abgabeforderung separat ist und der unabhängig von dieser nach Art. 11 VStrR verjährt. Die zuständige Verwaltungsbehörde kann wahlweise den einen oder den anderen Anspruch erheben, wobei die Befriedigung des einen zum Untergang des anderen Anspruchs führt, soweit sie sich betragsmässig decken (alternative Anspruchskonkurrenz; Praxispräzisierung; E. 5.1-5.3). Die Nachleistungspflicht wegen objektiver Widerhandlung gegen Art. 96 Abs. 4 lit. a MWSTG (Einfuhrsteuerhinterziehung) kann nicht mehr verjähren, wenn vor Ablauf der Verjährungsfrist von Art. 105 Abs. 1 MWSTG eine Verfügung über die Nachleistungspflicht eröffnet worden ist (E. 5.7 und 5.8).</w:t>
      </w:r>
    </w:p>
    <w:p>
      <w:pPr>
        <w:pStyle w:val="Heading2"/>
      </w:pPr>
      <w:r>
        <w:t>Erwägungen</w:t>
      </w:r>
    </w:p>
    <w:p>
      <w:r>
        <w:rPr>
          <w:b/>
        </w:rPr>
        <w:t>E. 5</w:t>
      </w:r>
    </w:p>
    <w:p>
      <w:r>
        <w:t>Die Beschwerdeführerin macht geltend, dass die Abgabeforderungen verjährt seien. Die Verjährungsfristen des VStrR seien in Art. 75 ZG nur in Bezug auf die absolute Verjährungsfrist in Abs. 4, nicht aber in Bezug auf die relative Verjährungsfrist in Abs. 1 vorbehalten. Die relative Verjährungsfrist von fünf Jahren gemäss Art. 75 Abs. 1 ZG sei hier abgelaufen, weshalb die Zollschuld verjährt sei. Dasselbe gelte kraft Art. 90 Abs. 1 ZG bzw. Art. 56 Abs. 4 MWSTG auch für die Automobilsteuer- und die Einfuhrsteuerschulden.</w:t>
      </w:r>
    </w:p>
    <w:p>
      <w:r>
        <w:rPr>
          <w:b/>
        </w:rPr>
        <w:t>E. 5.1</w:t>
      </w:r>
    </w:p>
    <w:p>
      <w:r>
        <w:t>Die Rüge der Beschwerdeführerin wirft vorab die Frage auf, nach welcher Regelung die Verjährung zu beurteilen ist. Das Bundesgericht war bereits verschiedentlich mit der Frage konfrontiert, in welchem Verhältnis spezial- bzw. abgabegesetzliche Verjährungsregelungen wie Art. 20 AStG , Art. 56 Abs. 4 MWSTG und Art. 75 ZG zur Verjährungsregelung des VStrR stehen, kam dabei aber zu teilweise unterschiedlichen Ergebnissen.</w:t>
      </w:r>
    </w:p>
    <w:p>
      <w:r>
        <w:rPr>
          <w:b/>
        </w:rPr>
        <w:t>E. 5.1.1</w:t>
      </w:r>
    </w:p>
    <w:p>
      <w:r>
        <w:t>In BGE 143 IV 228 hat das Bundesgericht im Zusammenhang mit der Nachleistung der Verrechnungssteuer festgehalten, dass sich die Verjährung der Leistungs- oder Rückerstattungspflicht ("la prescription de l'assujettissement à une prestation ou à une restitution") bei Vorliegen von Verletzungen gegen die BGE 150 II 177 S. 181 Verwaltungsgesetzgebung des Bundes nach dem VStrR und nicht nach der Regelung im betreffenden Verwaltungsgesetz richtet (E. 4.2; vgl. auch Urteile 2C_422/2014 vom 18. Juli 2015 E. 5.3; 2C_415/2013 vom 2. Februar 2014 E. 8.1; vgl. zustimmend URS BEHNISCH, Gedanken zur Qualitätssicherung in der Juristerei, insbesondere im Rechtsschutz, dargestellt anhand von Verjährungsfragen im Steuerrecht, in: Rechtsschutz in Theorie und Praxis, Festschrift für Stephan Breitenmoser, 2022, S. 12).</w:t>
      </w:r>
    </w:p>
    <w:p>
      <w:r>
        <w:rPr>
          <w:b/>
        </w:rPr>
        <w:t>E. 5.1.2</w:t>
      </w:r>
    </w:p>
    <w:p>
      <w:r>
        <w:t>Dieses und frühere Urteile, die ähnliche Formulierungen enthielten (vgl. Hinweise in BGE 143 IV 228 E. 4.2), betrafen Konstellationen, in denen die verwaltungsstrafrechtliche die abgabegesetzliche Verjährungsfrist überdauerte. Für die umgekehrte Konstellation (längere abgabegesetzliche Verjährungsfrist) kam das Bundesgericht unter Berücksichtigung der einschlägigen Materialien zum Schluss, dass die verwaltungsstrafrechtliche subsidiär zur abgabegesetzlichen Verjährungsfrist zur Anwendung kommt, die Abgabeforderung also nur dann verjährt ist, wenn beide Fristen abgelaufen sind (Urteil 2C_217/2019 vom 27. April 2020 E. 4.4.1 und 4.4.2 [betreffend Mehrwertsteuer]; vgl. kritisch hierzu BEHNISCH, a.a.O., S. 9 ff.).</w:t>
      </w:r>
    </w:p>
    <w:p>
      <w:r>
        <w:rPr>
          <w:b/>
        </w:rPr>
        <w:t>E. 5.1.3</w:t>
      </w:r>
    </w:p>
    <w:p>
      <w:r>
        <w:t>In eine im Ergebnis ähnliche Richtung weisen Urteile aus der Zeit vor BGE 143 IV 228 . Diese legen zumindest nahe, dass Art. 12 Abs. 1 und 2 VStrR eine eigenständige Anspruchsgrundlage darstellt. Forderungen hieraus verjähren alsdann nach Art. 12 Abs. 4 VStrR und nicht nach der Abgabegesetzgebung (vgl. BGE 110 Ib 306 E. 3; BGE 106 Ib 218 E. 2d; vgl. auch BGE 115 Ib 358 E. 3b; Urteile 2C_243/2014 vom 9. Dezember 2014 E. 5.2.1; 2C_415/2013 vom 2. Februar 2014 E. 8.1). Ist nur entweder nach dem Abgabegesetz oder nach Art. 12 Abs. 4 VStrR die Verjährung eingetreten, kann also hiernach die andere, nicht verjährte Forderung weiterhin geltend gemacht werden. In weiteren Urteilen hat das Bundesgericht überdies in Art. 12 Abs. 2 VStrR eine unmittelbare, eigenständige Grundlage für Verzugszinsforderungen erblickt (vgl. Urteile 2A.215/ 1998 vom 4. August 1999 E. 2a und 2c, in: ASA 68 S. 438; A.388/ 1985 vom 20. Oktober 1989 E. 13d, nicht publ. in: BGE 115 Ib 274 , aber in: ASA 59 S. 306; A.425/1981 vom 5. April 1984 E. 5, nicht publ. in: BGE 110 Ib 127 , aber in: ASA 53 S. 278, RDAF 1985 S. 217).</w:t>
      </w:r>
    </w:p>
    <w:p>
      <w:r>
        <w:rPr>
          <w:b/>
        </w:rPr>
        <w:t>E. 5.1.4</w:t>
      </w:r>
    </w:p>
    <w:p>
      <w:r>
        <w:t>Auch in der Literatur wird vertreten, dass Art. 12 Abs. 1 und 2 VStrR eine parallele Anspruchsgrundlage darstelle (OESTERHELT/ FRACHEBOUD, in: Basler Kommentar, VStrR, 2020, N. 1 und 13 zu BGE 150 II 177 S. 182 Art. 12 VStrR ; wohl auch BLUMENSTEIN/LOCHER, System des schweizerischen Steuerrechts, 8. Aufl. 2023, S. 459 f.). Eine solche Rechtslage würde sich allerdings von jener bei den direkten Steuern unterscheiden. Dort ist die Nachsteuerforderung nach der Rechtsprechung vom ursprünglichen Steueranspruch nicht verschieden, sondern die Mehrsteuer, die sich aufgrund der Überprüfung der bisherigen Veranlagung ergibt ( BGE 144 II 427 E. 9.2.1; BGE 121 II 273 E. 3b; BGE 98 Ia 22 E. 2; vgl. auch MICHAEL BEUSCH, Der Untergang der Steuerforderung, 2012, S. 85).</w:t>
      </w:r>
    </w:p>
    <w:p>
      <w:r>
        <w:rPr>
          <w:b/>
        </w:rPr>
        <w:t>E. 5.2</w:t>
      </w:r>
    </w:p>
    <w:p>
      <w:r>
        <w:t>Um zu klären, in welchem Verhältnis Art. 12 VStrR und spezielle Verjährungsregelungen zueinander stehen und insbesondere, ob es sich um verschiedene Forderungen handelt, ist in einem ersten Schritt Art. 12 VStrR auszulegen.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158 E. 5.2.1; BGE 148 V 28 E. 6.1; BGE 146 V 224 E. 4.5.1, BGE 146 V 95 E. 4.3.1; je mit Hinweisen).</w:t>
      </w:r>
    </w:p>
    <w:p>
      <w:r>
        <w:rPr>
          <w:b/>
        </w:rPr>
        <w:t>E. 5.2.1</w:t>
      </w:r>
    </w:p>
    <w:p>
      <w:r>
        <w:t>Soweit die Nachleistung von zu Unrecht nicht erhobenen Abgaben betroffen ist, ergibt sich aus dem Wortlaut von Art. 12 Abs. 1 VStrR nicht eindeutig, ob diese Bestimmung für den Fiskus eine selbständige Anspruchsgrundlage schafft oder lediglich die bereits entstandene Abgabeforderung modifiziert. Klar ist jedoch, dass sich die Pflicht zur Rückerstattung von Vergütungen, Beiträgen sowie Steuerrückerstattungen direkt auf Art. 12 VStrR stützen können muss, weil sie oft im Spezialgesetz nicht geregelt ist (vgl. BGE 129 II 385 E. 3.3.4).</w:t>
      </w:r>
    </w:p>
    <w:p>
      <w:r>
        <w:rPr>
          <w:b/>
        </w:rPr>
        <w:t>E. 5.2.2</w:t>
      </w:r>
    </w:p>
    <w:p>
      <w:r>
        <w:t>Insbesondere mit Blick auf die systematische Stellung von Art. 12 VStrR in einem Strafrechtserlass und den historischen BGE 150 II 177 S. 183 Hintergrund dieser Vorschrift haben mehrere Autoren die Nachleistungspflicht in einen Zusammenhang mit der Einziehung ( Art. 2 VStrR i.V.m. Art. 69 ff. StGB ) gesetzt (vgl. BLUMENSTEIN/LOCHER, a.a.O., S. 459 f.; PETER BÖCKLI, Harmonisierung des Steuerstrafrechts, ASA 51 S. 102 f. und Fn. 18; VALÉRIE PARIS, L'assujettissement subséquent selon l'article 12 DPA est-il encore et toujours une arme efficace de l'arsenal de lutte contre les infractions en matière de TVA?, in: Au carrefour des contributions, Mélanges Mollard, 2020, S. 174 und 176; ZUPPINGER/BÖCKLI/LOCHER/REICH, Steuerharmonisierung, 1984, S. 285 [betr. Nachsteuern generell]). Bereits vor Erlass des VStrR hatte insbesondere der spätere Direktor der Eidgenössischen Steuerverwaltung WALTER ROBERT PFUND dafür plädiert, die Nachsteuer als konfiskatorische Massnahme und nicht als blosse Fortsetzung der Steuerforderung auszugestalten (WALTER ROBERT PFUND, Das Steuerstrafrecht, 1954, S. 126 ff.). Ab 1955 bereitete PFUND sodann als Experte des Eidgenössischen Finanz- und Zolldepartements und des Eidgenössischen Justiz- und Polizeidepartements die Vorlage des VStrR vor; die Botschaft beruhte im Wesentlichen auf seinen Vorarbeiten und Berichten (vgl. Botschaft vom 21. April 1971 zum Entwurf eines Bundesgesetzes über das Verwaltungsstrafrecht, BBl 1971 I 993, 996). Im Wortlaut von Art. 12 VStrR hat die Konzeption PFUNDS jedenfalls insoweit direkten Niederschlag gefunden, als Abs. 2 nicht nur für leistungspflichtig erklärt, wer die Abgabe schuldet, sondern an den unrechtmässigen Vorteil anknüpft, der durch die objektive Widerhandlung gegen die Verwaltungsgesetzgebung erlangt worden ist (vgl. WALTER ROBERT PFUND, Das neue Verwaltungsstrafrecht des Bundes, unter besonderer Berücksichtigung des Steuerstrafrechts, ASA 42 S. 178; vgl. auch BLUMENSTEIN/ LOCHER, a.a.O., S. 459 f.).</w:t>
      </w:r>
    </w:p>
    <w:p>
      <w:r>
        <w:rPr>
          <w:b/>
        </w:rPr>
        <w:t>E. 5.2.3</w:t>
      </w:r>
    </w:p>
    <w:p>
      <w:r>
        <w:t>Neben diesen historischen und systematischen sprechen auch teleologische Gesichtspunkte dafür, in dieser Bestimmung die Grundlage für einen eigenständigen, mit der Abgabeforderung nicht identischen Anspruch zu sehen. Das Bundesgericht hat bereits erkannt, dass die Verjährungsregelung in Art. 12 Abs. 4 VStrR und die Verjährungsregelungen in den Abgabegesetzen einander grundsätzlich nicht verdrängen: Weder hindert der Eintritt der abgabegesetzlichen Verjährung die Verwaltungsbehörde daran, die Nachleistung nach Art. 12 VStrR geltend zu machen (vgl. oben E. 5.1.1), noch kann Art. 12 Abs. 4 VStrR zum Untergang der Abgabeforderung führen, solange die abgabegesetzliche Verjährungsfrist noch läuft (vgl. oben BGE 150 II 177 S. 184 E. 5.1.2). Es ist nun zwar nicht von vornherein ausgeschlossen, Art. 12 Abs. 4 VStrR neben bzw. subsidiär zu einer abgabegesetzlichen Verjährungsfrist auf dieselbe abgabegesetzliche Forderung zur Anwendung zu bringen (so insbesondere Urteil 2C_217/2019 vom 27. April 2020 E. 4.4.1 und 4.4.2 mit Hinweis auf BEUSCH, a.a.O., S. 84). Dadurch würde die ursprüngliche Abgabeforderung indessen tiefgreifend modifiziert, ohne dass dies die Lektüre des Abgabegesetzes erahnen lassen würde. Ungewöhnlich wäre auch die Ausdehnung des Kreises der Pflichtigen und der Haftungssubjekte, die nach Art. 12 Abs. 2 und 3 VStrR für die Abgabeforderung einstehen müssten. Beides verkompliziert die ohnehin schon komplexe gesetzliche Gemengelage im Bereich der Verjährung unnötig (vgl. dazu Urteil 2C_822/2021 vom 26. Januar 2022 E. 5.2.3). Diese Gemengelage lässt sich demgegenüber zumindest etwas entwirren, wenn in Art. 12 Abs. 1 und 2 VStrR die Grundlage für eine von der Abgabeforderung separate Forderung gesehen wird, die nach Art. 12 Abs. 4 VStrR verjährt (vgl. aber Art. 105 Abs. 3 MWSTG ; diese Bestimmung verdrängt ihrerseits Art. 12 Abs. 4 VStrR , deutet nach ihrem Wortlaut aber immerhin darauf hin, dass der Gesetzgeber die Leistungs- und Rückleistungspflicht als eigenständige, mit der Steuerobligation nicht identische Schuld betrachtet; vgl. näher zu dieser Bestimmung unten E. 5.7). Hinzu kommt, dass Art. 12 Abs. 1 und 2 VStrR jedenfalls für die Rückerstattung von Vergütungen, Beiträgen sowie Steuerrückerstattungen eine eigenständige Anspruchsgrundlage darstellt (vgl. oben E. 5.2.1). Es ist nicht ersichtlich, weshalb für die Nachleistung von Abgaben etwas anderes gelten sollte.</w:t>
      </w:r>
    </w:p>
    <w:p>
      <w:r>
        <w:rPr>
          <w:b/>
        </w:rPr>
        <w:t>E. 5.3</w:t>
      </w:r>
    </w:p>
    <w:p>
      <w:r>
        <w:t>Nach dem Gesagten verleiht Art. 12 VStrR der Bundesverwaltung bzw. der zuständigen Verwaltungsbehörde (vgl. Art. 63 Abs. 1 VStrR ) auch in Bezug auf die Nachleistung von Abgaben einen eigenständigen Anspruch, der von der Abgabeforderung separat ist. Die Verwaltungsbehörde kann wahlweise den einen oder den anderen Anspruch erheben. Die Forderungen verjähren unabhängig voneinander. Allerdings führt die Befriedigung des einen zum Untergang des anderen Anspruchs, soweit sich die Ansprüche betragsmässig decken (alternative Anspruchskonkurrenz; vgl. dazu BGE 148 III 401 E. 3.1; BGE 147 V 10 E. 4.3.3; vgl. auch OESTERHELT/FRACHEBOUD, a.a.O., N. 13 zu Art. 12 VStrR ; PFUND, Das Steuerstrafrecht, a.a.O., S. 144, der - de lege ferenda - einen Vorrang der Nachleistungspflicht befürwortete). BGE 150 II 177 S. 185</w:t>
      </w:r>
    </w:p>
    <w:p>
      <w:r>
        <w:rPr>
          <w:b/>
        </w:rPr>
        <w:t>E. 5.4</w:t>
      </w:r>
    </w:p>
    <w:p>
      <w:r>
        <w:t>Wenn die abgabegesetzliche Forderung von der Forderung aus Art. 12 VStrR zu unterscheiden ist, muss für beide Forderungen separat nach der jeweils einschlägigen Regelung geprüft werden, ob die Verjährung eingetreten ist.</w:t>
      </w:r>
    </w:p>
    <w:p>
      <w:r>
        <w:rPr>
          <w:b/>
        </w:rPr>
        <w:t>E. 5.4.1</w:t>
      </w:r>
    </w:p>
    <w:p>
      <w:r>
        <w:t>Nach Art. 75 Abs. 1 ZG verjähren Zollschulden fünf Jahre nach Ablauf des Kalenderjahres, in dem sie fällig werden. Diese relative Verjährungsfrist gilt kraft der Verweisung in Art. 56 Abs. 4 MWSTG auch für die Einfuhrsteuerschuld. Sowohl für die Zollschuld als auch für die Einfuhrsteuerschuld ist also fünf Jahre nach Ende des Kalenderjahres 2011 - mithin am Ende des Jahres 2016 - die Verjährung eingetreten, zumal bis dahin kein Grund für eine Unterbrechung oder einen Stillstand gesetzt worden war (vgl. Art. 75 Abs. 2 ZG und Art. 56 Abs. 4 MWSTG ).</w:t>
      </w:r>
    </w:p>
    <w:p>
      <w:r>
        <w:rPr>
          <w:b/>
        </w:rPr>
        <w:t>E. 5.4.2</w:t>
      </w:r>
    </w:p>
    <w:p>
      <w:r>
        <w:t>Anders als die Zoll- und die Einfuhrsteuerschuld unterliegt die Automobilsteuerschuld einer relativen Verjährungsfrist von zehn Jahren ( Art. 20 Abs. 1 AStG ). Diese Frist wird unter anderem durch jede Amtshandlung unterbrochen, mit der die Steuerforderung bei der steuerpflichtigen Person geltend gemacht wird ( Art. 20 Abs. 2 lit. b AStG ), wodurch die Frist von Neuem zu laufen beginnt ( Art. 20 Abs. 3 AStG ). Die absolute Verjährungsfrist von 15 Jahren würde vorliegend erst Ende des Jahres 2026 ablaufen ( Art. 20 Abs. 4 AStG ). Das BAZG hat zwar diverse Amtshandlungen unternommen, die grundsätzlich zur Verjährungsunterbrechung geeignet gewesen wären. Weil es seinen Anspruch aber von Beginn weg auf Art. 12 VStrR gestützt hat, bestehen gewisse Zweifel, ob die relative Verjährung der Automobilsteuerforderung unterbrochen worden ist. Die Frage kann aber offenbleiben, sofern der Anspruch aus Art. 12 VStrR nicht verjährt oder anderweitig untergegangen ist.</w:t>
      </w:r>
    </w:p>
    <w:p>
      <w:r>
        <w:rPr>
          <w:b/>
        </w:rPr>
        <w:t>E. 5.5</w:t>
      </w:r>
    </w:p>
    <w:p>
      <w:r>
        <w:t>Zu prüfen bleibt demnach, ob der Anspruch des BAZG auf Nachleistung der Einfuhrabgaben aus Art. 12 VStrR verjährt ist. Wie die Vorinstanz erwogen hat und die Beschwerdeführerin zu Recht nicht infrage stellt, beträgt die Verjährungsfrist nach Art. 12 Abs. 4 VStrR für die vorliegend infrage stehenden Hinterziehungsdelikte sieben Jahre (vgl. zur Herleitung dieser Frist BGE 134 IV 328 E. 2.1; vgl. ferner BGE 143 IV 228 E. 4.4; BGE 139 IV 62 E. 1.3.2; vgl. nunmehr auch Art. 11 Abs. 2 VStrR , dessen Wortlaut per 1. Juli 2023 an diese Rechtsprechung angepasst worden ist). Die Verjährung nach Art. 12 Abs. 4 VStrR wäre also frühestens sieben Jahre nach der Einfuhr eingetreten, mithin am 13. Oktober 2018. Seit der BGE 150 II 177 S. 186 Eröffnung der Nachleistungsverfügung vom 20. September 2018 am 21. September 2018 ruht die Verjährung ( Art. 11 Abs. 3 VStrR ; BGE 143 IV 228 E. 5.7). Dementsprechend ist die Vorinstanz zutreffend zum Schluss gelangt, dass die Verjährung nach Art. 12 Abs. 4 VStrR nicht eingetreten ist. Es kann sich nur noch die Frage stellen, ob die Frist von Art. 12 Abs. 4 VStrR von abgabe- oder sonstigen spezialgesetzlichen Regelungen übersteuert wird.</w:t>
      </w:r>
    </w:p>
    <w:p>
      <w:r>
        <w:rPr>
          <w:b/>
        </w:rPr>
        <w:t>E. 5.6</w:t>
      </w:r>
    </w:p>
    <w:p>
      <w:r>
        <w:t>Das AStG enthält keine Bestimmung, welche die Verjährung der Forderung aus Art. 12 VStrR abweichend von Art. 12 Abs. 4 VStrR regeln würde. Soweit es um die Nachleistung der Automobilsteuer geht, ist die Forderung aus Art. 12 VStrR also nicht verjährt. Nichts anderes gilt für den Zoll. Art. 75 ZG regelt nur die Verjährung der Zollschuld und nicht jene der Nachleistungspflicht aus Art. 12 VStrR . Der Vorbehalt der "längere[n] Verjährungsfristen nach den Artikeln 11 und 12 VStrR" in Art. 75 Abs. 4 ZG kann nicht so verstanden werden, dass damit die Verjährung der Forderung aus Art. 12 VStrR modifiziert werden sollte. Er ist vielmehr bloss deklaratorischer Natur und weist die Zollschuldner darauf hin, dass sie auch nach der Verjährung der Zollschuld gemäss dieser Bestimmung unter Umständen noch damit rechnen müssen, zur Nachleistung verpflichtet zu werden. Es kann also festgehalten werden, dass die Schuld der Beschwerdeführerin aus Art. 12 VStrR betreffend die Nachleistung der Automobilsteuer und der Zollabgaben nicht verjährt ist.</w:t>
      </w:r>
    </w:p>
    <w:p>
      <w:r>
        <w:rPr>
          <w:b/>
        </w:rPr>
        <w:t>E. 5.7.1</w:t>
      </w:r>
    </w:p>
    <w:p>
      <w:r>
        <w:t>Gleich wie für den Zoll selbst kann Art. 75 Abs. 1 ZG auch in Bezug auf die Einfuhrsteuer ungeachtet der Verweisung in Art. 56 Abs. 4 MWSTG nicht zur Verjährung der Nachleistungspflicht aus Art. 12 VStrR führen. Im Unterschied zum AStG und zum ZG enthält das MWSTG aber Vorschriften, welche die Anwendung von Art. 12 Abs. 4 VStrR ausschliessen ( Art. 101 Abs. 1 MWSTG ) und die Verjährung der Nachleistungspflicht aus Art. 12 VStrR selbständig regeln ( Art. 105 Abs. 3 MWSTG ). Nach Art. 105 Abs. 3 MWSTG richtet sich die Verjährung der Nachleistungspflicht nach Art. 105 Abs. 1 und 2 MWSTG , wenn "ein Tatbestand der Artikel 96 Absatz 4, 97 Absatz 2 oder 99 oder nach den Artikeln 14-17 VStrR erfüllt ist", andernfalls nach Art. 42 MWSTG . Entgegen einer in der Literatur vertretenen Auffassung (STEFAN OESTERHELT, Verjährung im Steuerrecht, ASA 79 S. 840) ist im Einklang mit der ständigen Praxis zu Art. 12 VStrR auch hier alleine auf den objektiven Tatbestand BGE 150 II 177 S. 187 der Einfuhrsteuerhinterziehung ( Art. 96 Abs. 4 MWSTG ) abzustellen (so zu Recht VALÉRIE PARIS, in: Bundesgesetz über die Mehrwertsteuer/Loi fédérale régissant la taxe sur la valeur ajoutée, Kommentar zum Schweizerischen Steuerrecht, 2015, N. 16 zu Art. 105 MWSTG ). Der deutsche und der italienische Wortlaut von Art. 105 Abs. 3 lit. b MWSTG scheinen die gegenteilige Auffassung zwar zu stützen, indem sie auf die Erfüllung des "Tatbestands" bzw. der "fattispecie" von (u.a.) Art. 96 Abs. 4 MWSTG abstellen. Demgegenüber knüpft der französische Wortlaut gleich wie Art. 12 Abs. 1 VStrR an die Widerhandlung ("infraction") an. Dass die Erfüllung des objektiven Tatbestands jedenfalls in Bezug auf die in Art. 105 Abs. 3 lit. b MWSTG genannten Einfuhrsteuerdelikte genügen muss, ergibt sich zudem daraus, dass die Regelung die Harmonisierung mit dem Zollrecht anstrebt (vgl. BAUMGARTNER/CLAVADETSCHER/KOCHER, Vom alten zum neuen Mehrwertsteuergesetz, 2010, S. 418; PIRMIN BISCHOF, Revision des MWST-Verfahrensrechts und MWST-Strafrechts, Schweizer Treuhänder 2009 S. 498; CLAVADETSCHER/BOSSART MEIER, in: MWSTG, Kommentar, 2. Aufl. 2019, N. 27 zu Art. 105 MWSTG ). Da der objektive Tatbestand der Einfuhrsteuerhinterziehung erfüllt worden ist (vgl. nicht publ. E. 4), ergibt sich für den vorliegenden Fall also, dass auch in Bezug auf die Nachleistung der Einfuhrsteuer die Verjährung für die Forderung aus Art. 12 VStrR frühestens sieben Jahre nach der Einfuhr eingetreten ist, mithin am 13. Oktober 2018.</w:t>
      </w:r>
    </w:p>
    <w:p>
      <w:r>
        <w:rPr>
          <w:b/>
        </w:rPr>
        <w:t>E. 5.7.2</w:t>
      </w:r>
    </w:p>
    <w:p>
      <w:r>
        <w:t>Das Mehrwertsteuerstrafrecht kennt keinen Fristenstillstand während der Dauer von Einsprache-, Beschwerde- oder gerichtlichen Verfahren über die Nachleistungspflicht (anders Art. 11 Abs. 3 lit. a VStrR ) oder während der Durchführung des Steuerstrafverfahrens (anders Art. 42 Abs. 4 MWSTG ). Auch ein Unterbruch der Verjährung ist nicht vorgesehen (anders Art. 42 Abs. 2 und 3 MWSTG ). Gewissermassen als Ersatz für Unterbruch und Stillstand bestimmt Art. 105 Abs. 2 MWSTG , dass keine Verfolgungsverjährung mehr eintritt, wenn rechtzeitig eine Strafverfügung oder ein erstinstanzliches Urteil ergangen ist. Diese Regelung ist offenkundig vom Kernstrafrecht (StGB) inspiriert, das für die Verfolgungsverjährung seit der Änderung vom 5. Oktober 2001 (in Kraft seit dem 1. Oktober 2002) ebenfalls keinen Fristenstillstand mehr kennt, dafür aber die Verjährung ausschliesst, wenn vor Ablauf der Verjährungsfrist ein erstinstanzliches Urteil ergeht (vgl. Art. 70 StGB i.d.F. vom 5. Oktober 2001 [AS 2002 2993]; seit 1. Januar 2007: Art. 97 Abs. 1 und 3 BGE 150 II 177 S. 188 StGB ; vgl. BGE 146 IV 59 E. 3.3 und 3.4.6; BGE 143 IV 49 E. 1.8.1). Anders als das StGB, das seit der erwähnten Reform nur noch eine Verfolgungsverjährungsfrist kennt, setzt das Mehrwertsteuerstrafrecht der Strafverfolgungsbehörde aber zwei Fristen: Die erste, in Art. 105 Abs. 1 MWSTG geregelte Frist betrifft die Einleitung der Strafuntersuchung. Sie beträgt für die hier infrage stehende Einfuhrsteuerhinterziehung sieben Jahre (Art. 105 Abs. 1 lit. d aMWSTG i.d.F. bis zum 31. Dezember 2017 [AS 2009 5253] bzw. Art. 105 Abs. 1 lit. c MWSTG i.d.F. seit dem 1. Januar 2018 [AS 2017 3588]). Die zweite, in Art. 105 Abs. 4 MWSTG geregelte Frist verlangt von der Strafverfolgungsbehörde, dass sie eingeleitete Strafuntersuchungen innerhalb von fünf Jahren durchführt.</w:t>
      </w:r>
    </w:p>
    <w:p>
      <w:r>
        <w:rPr>
          <w:b/>
        </w:rPr>
        <w:t>E. 5.7.3</w:t>
      </w:r>
    </w:p>
    <w:p>
      <w:r>
        <w:t>In Bezug auf die Nachleistung der Einfuhrsteuer ist zu beachten, dass Art. 105 Abs. 3 lit. b MWSTG nur auf Abs. 1 und 2, nicht aber auf Abs. 4 dieses Artikels verweist. Diese bloss teilweise Verweisung auf die mehrwertsteuerstrafrechtliche Regelung eröffnet einigen Interpretationsspielraum. Sie könnte etwa so verstanden werden, dass bereits die rechtzeitige Einleitung des Strafverfahrens und damit die Einhaltung der Frist nach Abs. 1 zur Unverjährbarkeit der Nachleistungspflicht führt, wobei diesfalls die Verweisung in Abs. 3 lit. b auf Abs. 2 redundant wäre. Aus Abs. 2 könnte aber umgekehrt auch geschlossen werden, dass innert der Frist gemäss Abs. 1 nicht bloss die Einleitung, sondern auch eine Strafverfügung oder ein erstinstanzliches Urteil ergehen muss, damit die Rückleistungsforderung nicht verjährt. Weiter ist denkbar, dass ein gesetzgeberisches Versehen vorliegt, sei es, weil die Verweisung richtigerweise nur auf Abs. 1 lauten müsste (so CLAVADETSCHER/BOSSART MEIER, a.a.O., N. 28 zu Art. 105 MWSTG , wobei sich diese Autoren primär an der Unverjährbarkeitsfolge von Abs. 2 stören, allerdings ohne zu erläutern, welche sonstige Folge die rechtzeitige Einleitung der Strafverfolgung nach Abs. 1 für die Verjährung der Nachleistungsforderung haben soll), sei es, weil auch auf Abs. 4 hätte verwiesen werden müssen (vgl. dazu Botschaft vom 24. August 2022 zum Bundesgesetz über den Allgemeinen Teil der Abgabenerhebung und die Kontrolle des grenzüberschreitenden Waren- und Personenverkehrs durch das Bundesamt für Zoll und Grenzsicherheit sowie zur Totalrevision des Zollgesetzes zum neuen Zollabgabengesetz [Botschaft Zollrechtsrevision], BBl 2022 2724, 303, wonach die Verweisung in Art. 105 Abs. 3 MWSTG im Rahmen der laufenden Zollrechtsrevision entsprechend ergänzt werden soll). BGE 150 II 177 S. 189</w:t>
      </w:r>
    </w:p>
    <w:p>
      <w:r>
        <w:rPr>
          <w:b/>
        </w:rPr>
        <w:t>E. 5.7.4</w:t>
      </w:r>
    </w:p>
    <w:p>
      <w:r>
        <w:t>Da sich der Entwurf des Bundesrats noch mit einer allgemeinen Verweisung auf das VStrR begnügt hatte (Art. 104 Abs. 1 E-MWSTG; BBl 2008 7180) und die besondere Verjährungsregelung von Art. 105 MWSTG erst auf Vorschlag der zuständigen Kommission Eingang in das Gesetz fand, gibt die Botschaft des Bundesrats keinen Aufschluss darüber, wie die Bestimmung auszulegen ist. Sie wurde auch in den Räten nicht diskutiert (vgl. AB 2009 N 491 f.). Den Kommissionsprotokollen lässt sich entnehmen, dass ein Kommissionsmitglied zunächst beantragt hatte, analog Art. 97 StGB lediglich eine einzige Verfolgungsverjährungsfrist vorzusehen. Nach dieser Konzeption wäre die Verjährung der Strafverfolgung bei der Einfuhrsteuerhinterziehung - und damit kraft der Verweisung in Art. 105 Abs. 3 lit. b MWSTG (bzw. Art. 104b Abs. 3 lit. b E-MWSTG i.d.F. dieses Vorschlags) auf Abs. 1 und 2 derselben Bestimmung auch die Verjährung der Forderung aus Art. 12 VStrR - eingetreten, falls vor Ende der Frist von sieben Jahren nicht eine Strafverfügung oder ein erstinstanzliches Urteil ergangen wäre. Hintergrund dieses Vorschlags war, dass die Verjährungsfristen gemäss dem Entwurf des Bundesrats generell als zu lange empfunden wurden (vgl. Protokoll WAK-N vom 9./10. Februar 2009, S. 43 sowie Antrag 85). Dieser Antrag wurde in der Folge zugunsten eines Alternativvorschlags der Verwaltung zurückgezogen, der die Frist nach Art. 105 Abs. 1 MWSTG (bzw. Art. 104b Abs. 1 E-MWSTG) in eine Einleitungsfrist umwandelte und um die Durchführungsfrist in Abs. 4 derselben Bestimmung ergänzte, allerdings ohne auch in Abs. 3 auf die Durchführungsfrist zu verweisen (Protokoll WAK-N vom 9./10. Februar 2009, S. 43 f. und Alternativvorschlag ESTV zu den Anträgen 47 und 85). Dieser Vorschlag ist schliesslich Gesetz geworden. Ob damit bezweckt war, die Verjährung der Forderung aus Art. 12 VStrR betreffend die Nachleistung der Einfuhrsteuer vor der steuerstrafrechtlichen Verfolgungsverjährung und vor der Verjährung der Nachleistungsforderungen betreffend die übrigen Einfuhrabgaben eintreten zu lassen, oder die Verweisung in Art. 105 Abs. 3 lit. b MWSTG lediglich versehentlich nicht ergänzt wurde, ergibt sich aus den Kommissionsprotokollen nicht. Zusammenfassend ist also festzuhalten, dass die Materialien keinen schlüssigen Hinweis auf die ratio legis von Art. 105 Abs. 3 lit. b i.V.m. Abs. 1 und 2 MWSTG liefern.</w:t>
      </w:r>
    </w:p>
    <w:p>
      <w:r>
        <w:rPr>
          <w:b/>
        </w:rPr>
        <w:t>E. 5.7.5</w:t>
      </w:r>
    </w:p>
    <w:p>
      <w:r>
        <w:t>In der Praxis scheinen die Verwaltungsbehörden die Bestimmung so zu handhaben, dass noch nicht die Einleitung der BGE 150 II 177 S. 190 Strafuntersuchung, aber dafür neben der Strafverfügung und dem erstinstanzlichen Urteil auch die Eröffnung der Nachleistungsverfügung die Verjährungsfrist einhält respektive zur Unverjährbarkeit der Forderung führt (vgl. Botschaft Zollrechtsrevision, BBl 2022 2724, 303). Diese Rechtsfolge ergibt sich zwar nicht direkt aus dem Wortlaut der Bestimmung. Dadurch wird aber im Ergebnis die Parallelität zum Zollrecht hergestellt, die Art. 105 Abs. 3 lit. b MWSTG in Bezug auf die Einfuhrsteuer bezweckt (vgl. oben E. 5.7.1), zumal der Stillstand der Verjährung für die Dauer des Rechtsmittelverfahrens nach Art. 11 Abs. 3 lit. a VStrR letztlich eine vergleichbare Wirkung entfaltet. Diese Wirkung der Verfügung über die Nachleistungspflicht lässt sich ferner auch auf die ständige Rechtsprechung stützen, wonach Einziehungsverfügungen im Verwaltungsstrafrecht für Zwecke der Unterbrechung der Verjährung des Einziehungsanspruchs als erstinstanzliche Urteile gelten ( BGE 147 IV 274 E. 1.5; BGE 133 IV 112 E. 9.4.4; Urteil 6B_178/2019 vom 1. April 2020 E. 4.4.10, nicht publ. in: BGE 146 IV 201 ). Angesichts der einziehungsähnlichen Funktion von Art. 12 VStrR (vgl. oben E. 5.2.2) bietet es sich an, einem separaten (vgl. Art. 63 Abs. 1 VStrR ) Entscheid der Verwaltungsbehörde über die Nachleistungspflicht nach Art. 12 VStrR betreffend die Einfuhrsteuer im Rahmen von Art. 105 Abs. 3 lit. b i.V.m. Abs. 2 MWSTG ebenfalls diese Wirkung zuzubilligen, da diese Verfügung nicht bloss auf summarischer Grundlage ergeht, einem Rechtsmittel unterliegt ( Art. 63 Abs. 1 VStrR i.V.m. Art. 50 MWSTG und Art. 116 ZG ) und Urteilsqualität hat (vgl. demgegenüber zu Straf- und Einziehungsbefehlen und -bescheiden BGE 142 IV 11 E. 1.2.1 und 1.2.2). Im Interesse des Gleichlaufs mit dem Zollrecht bzw. mit Art. 11 Abs. 3 lit. a VStrR ist für die Verjährung der Nachleistungspflicht allerdings nicht auf das Entscheiddatum (so die Rechtslage im Strafrecht: BGE 146 IV 59 E. 3.3), sondern auf die Eröffnung der Verfügung als Auslöser der Rechtsmittelfrist abzustellen.</w:t>
      </w:r>
    </w:p>
    <w:p>
      <w:r>
        <w:rPr>
          <w:b/>
        </w:rPr>
        <w:t>E. 5.8</w:t>
      </w:r>
    </w:p>
    <w:p>
      <w:r>
        <w:t>Aus dem Gesagten folgt, dass die Eröffnung der Verfügung des BAZG bzw. der Zollstelle oder Zollkreisdirektion (vgl. Art. 116 ZG ) über die Nachleistungspflicht im Falle von Einfuhrsteuerdelikten nach Art. 105 Abs. 3 lit. b MWSTG die Unverjährbarkeit der Forderung zur Folge hat, falls sie vor Ablauf der Verjährungsfrist nach Art. 105 Abs. 1 MWSTG erfolgt. Da die Nachleistungsverfügung vorliegend vor Ablauf dieser Frist eröffnet worden ist (vgl. oben E. 5.5 und 5.7.1), ist also auch die Forderung aus Art. 12 VStrR auf Nachleistung der Einfuhrsteuer nicht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